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404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8"/>
        <w:gridCol w:w="1844"/>
        <w:gridCol w:w="1854"/>
        <w:gridCol w:w="1836"/>
        <w:gridCol w:w="1867"/>
        <w:gridCol w:w="1857"/>
        <w:gridCol w:w="2484"/>
        <w:tblGridChange w:id="0">
          <w:tblGrid>
            <w:gridCol w:w="2298"/>
            <w:gridCol w:w="1844"/>
            <w:gridCol w:w="1854"/>
            <w:gridCol w:w="1836"/>
            <w:gridCol w:w="1867"/>
            <w:gridCol w:w="1857"/>
            <w:gridCol w:w="2484"/>
          </w:tblGrid>
        </w:tblGridChange>
      </w:tblGrid>
      <w:tr>
        <w:trPr>
          <w:trHeight w:val="1740" w:hRule="atLeast"/>
        </w:trPr>
        <w:tc>
          <w:tcPr>
            <w:gridSpan w:val="7"/>
            <w:tcBorders>
              <w:bottom w:color="000000" w:space="0" w:sz="4" w:val="single"/>
            </w:tcBorders>
          </w:tcPr>
          <w:p w:rsidR="00000000" w:rsidDel="00000000" w:rsidP="00000000" w:rsidRDefault="00000000" w:rsidRPr="00000000">
            <w:pPr>
              <w:pBd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Professional Development Planning Sheet</w:t>
            </w:r>
          </w:p>
          <w:p w:rsidR="00000000" w:rsidDel="00000000" w:rsidP="00000000" w:rsidRDefault="00000000" w:rsidRPr="00000000">
            <w:pPr>
              <w:pBdr/>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SIP Strand 1</w:t>
            </w:r>
            <w:r w:rsidDel="00000000" w:rsidR="00000000" w:rsidRPr="00000000">
              <w:rPr>
                <w:rFonts w:ascii="Verdana" w:cs="Verdana" w:eastAsia="Verdana" w:hAnsi="Verdana"/>
                <w:b w:val="1"/>
                <w:sz w:val="24"/>
                <w:szCs w:val="24"/>
                <w:rtl w:val="0"/>
              </w:rPr>
              <w:t xml:space="preserve">:  Teaching for Learning</w:t>
            </w:r>
          </w:p>
          <w:p w:rsidR="00000000" w:rsidDel="00000000" w:rsidP="00000000" w:rsidRDefault="00000000" w:rsidRPr="00000000">
            <w:pPr>
              <w:pBdr/>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Standard 1 Curriculum</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All instructional staff have a deep and shared understanding of the standards they are to teach, and how they connect to other grades/subjects.</w:t>
            </w:r>
          </w:p>
          <w:p w:rsidR="00000000" w:rsidDel="00000000" w:rsidP="00000000" w:rsidRDefault="00000000" w:rsidRPr="00000000">
            <w:pPr>
              <w:pBdr/>
              <w:contextualSpacing w:val="0"/>
              <w:jc w:val="center"/>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DIP Strand 3</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Professional Learning</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Standard 7:  Professional Learning Culture</w:t>
            </w:r>
            <w:r w:rsidDel="00000000" w:rsidR="00000000" w:rsidRPr="00000000">
              <w:rPr>
                <w:rFonts w:ascii="Verdana" w:cs="Verdana" w:eastAsia="Verdana" w:hAnsi="Verdana"/>
                <w:sz w:val="24"/>
                <w:szCs w:val="24"/>
                <w:rtl w:val="0"/>
              </w:rPr>
              <w:t xml:space="preserve">:  The district supports effective professional learning at every school that meets the needs of all learners through district systems and resource allocations</w:t>
            </w:r>
          </w:p>
          <w:p w:rsidR="00000000" w:rsidDel="00000000" w:rsidP="00000000" w:rsidRDefault="00000000" w:rsidRPr="00000000">
            <w:pPr>
              <w:pBd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Standard 8:  Professional Learning System</w:t>
            </w:r>
            <w:r w:rsidDel="00000000" w:rsidR="00000000" w:rsidRPr="00000000">
              <w:rPr>
                <w:rFonts w:ascii="Verdana" w:cs="Verdana" w:eastAsia="Verdana" w:hAnsi="Verdana"/>
                <w:sz w:val="24"/>
                <w:szCs w:val="24"/>
                <w:rtl w:val="0"/>
              </w:rPr>
              <w:t xml:space="preserve">: The district develops a three to five year improvement plan that identifies priorities for professional learning based on a co professional learning based on a comprehensive assessment of student and educator learning needs to ensure educator effectiveness;  The district ensures that professional learning is ongoing, job-embedded, data-driven and collaboratively designed.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Aligned School Improvement GOAL: </w:t>
            </w:r>
            <w:r w:rsidDel="00000000" w:rsidR="00000000" w:rsidRPr="00000000">
              <w:rPr>
                <w:rFonts w:ascii="Verdana" w:cs="Verdana" w:eastAsia="Verdana" w:hAnsi="Verdana"/>
                <w:i w:val="1"/>
                <w:sz w:val="24"/>
                <w:szCs w:val="24"/>
                <w:rtl w:val="0"/>
              </w:rPr>
              <w:t xml:space="preserve">Participate in Systemic Professional Development for Implementation of Michigan Science Standards</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SUPPORTING the Strategy of</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Develop comprehensive, multi year plans to support teachers’ and administrators’ learning. State, district, and school science education leaders should develop comprehensive multiyear plans for professional learning opportunities for teachers and administrators. (Recommendation #6)</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pBdr/>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Research</w:t>
            </w:r>
            <w:r w:rsidDel="00000000" w:rsidR="00000000" w:rsidRPr="00000000">
              <w:rPr>
                <w:rFonts w:ascii="Verdana" w:cs="Verdana" w:eastAsia="Verdana" w:hAnsi="Verdana"/>
                <w:sz w:val="24"/>
                <w:szCs w:val="24"/>
                <w:rtl w:val="0"/>
              </w:rPr>
              <w:t xml:space="preserve">:  http://www.ncbi.nlm.nih.gov/books/NBK285702/</w:t>
            </w:r>
          </w:p>
          <w:p w:rsidR="00000000" w:rsidDel="00000000" w:rsidP="00000000" w:rsidRDefault="00000000" w:rsidRPr="00000000">
            <w:pPr>
              <w:pBdr/>
              <w:contextualSpacing w:val="0"/>
              <w:rPr>
                <w:rFonts w:ascii="Verdana" w:cs="Verdana" w:eastAsia="Verdana" w:hAnsi="Verdana"/>
                <w:sz w:val="28"/>
                <w:szCs w:val="28"/>
              </w:rPr>
            </w:pPr>
            <w:r w:rsidDel="00000000" w:rsidR="00000000" w:rsidRPr="00000000">
              <w:rPr>
                <w:rtl w:val="0"/>
              </w:rPr>
            </w:r>
          </w:p>
        </w:tc>
      </w:tr>
      <w:tr>
        <w:trPr>
          <w:trHeight w:val="60" w:hRule="atLeast"/>
        </w:trPr>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Activity (Topic)</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Target Audience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Resources Needed</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Funding Source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Person Responsible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Expected Outcome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Timeframe and Deadline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Michigan Science Standard Professional Development 6-12</w:t>
            </w:r>
          </w:p>
          <w:p w:rsidR="00000000" w:rsidDel="00000000" w:rsidP="00000000" w:rsidRDefault="00000000" w:rsidRPr="00000000">
            <w:pPr>
              <w:pBdr/>
              <w:contextualSpacing w:val="0"/>
              <w:rPr/>
            </w:pPr>
            <w:r w:rsidDel="00000000" w:rsidR="00000000" w:rsidRPr="00000000">
              <w:rPr>
                <w:color w:val="000000"/>
                <w:highlight w:val="cyan"/>
                <w:rtl w:val="0"/>
              </w:rPr>
              <w:t xml:space="preserve">5 days</w:t>
            </w:r>
            <w:r w:rsidDel="00000000" w:rsidR="00000000" w:rsidRPr="00000000">
              <w:rPr>
                <w:rtl w:val="0"/>
              </w:rPr>
              <w:t xml:space="preserve"> throughout </w:t>
            </w:r>
            <w:r w:rsidDel="00000000" w:rsidR="00000000" w:rsidRPr="00000000">
              <w:rPr>
                <w:color w:val="000000"/>
                <w:highlight w:val="cyan"/>
                <w:rtl w:val="0"/>
              </w:rPr>
              <w:t xml:space="preserve">20XX-XX</w:t>
            </w:r>
            <w:r w:rsidDel="00000000" w:rsidR="00000000" w:rsidRPr="00000000">
              <w:rPr>
                <w:rtl w:val="0"/>
              </w:rPr>
              <w:t xml:space="preserve"> school year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Michigan Science Standard Professional Development K-5</w:t>
            </w:r>
          </w:p>
          <w:p w:rsidR="00000000" w:rsidDel="00000000" w:rsidP="00000000" w:rsidRDefault="00000000" w:rsidRPr="00000000">
            <w:pPr>
              <w:pBdr/>
              <w:contextualSpacing w:val="0"/>
              <w:rPr/>
            </w:pPr>
            <w:r w:rsidDel="00000000" w:rsidR="00000000" w:rsidRPr="00000000">
              <w:rPr>
                <w:color w:val="000000"/>
                <w:highlight w:val="cyan"/>
                <w:rtl w:val="0"/>
              </w:rPr>
              <w:t xml:space="preserve">3 days</w:t>
            </w:r>
            <w:r w:rsidDel="00000000" w:rsidR="00000000" w:rsidRPr="00000000">
              <w:rPr>
                <w:rtl w:val="0"/>
              </w:rPr>
              <w:t xml:space="preserve"> throughout </w:t>
            </w:r>
            <w:r w:rsidDel="00000000" w:rsidR="00000000" w:rsidRPr="00000000">
              <w:rPr>
                <w:color w:val="000000"/>
                <w:highlight w:val="cyan"/>
                <w:rtl w:val="0"/>
              </w:rPr>
              <w:t xml:space="preserve">20XX-XX</w:t>
            </w:r>
            <w:r w:rsidDel="00000000" w:rsidR="00000000" w:rsidRPr="00000000">
              <w:rPr>
                <w:rtl w:val="0"/>
              </w:rPr>
              <w:t xml:space="preserve"> school year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MS and HS Science Teachers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K-5 Elementary Teachers</w:t>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color w:val="000000"/>
                <w:highlight w:val="cyan"/>
                <w:rtl w:val="0"/>
              </w:rPr>
              <w:t xml:space="preserve">XX</w:t>
            </w:r>
            <w:r w:rsidDel="00000000" w:rsidR="00000000" w:rsidRPr="00000000">
              <w:rPr>
                <w:rtl w:val="0"/>
              </w:rPr>
              <w:t xml:space="preserve"> Guest teachers</w:t>
            </w:r>
          </w:p>
          <w:p w:rsidR="00000000" w:rsidDel="00000000" w:rsidP="00000000" w:rsidRDefault="00000000" w:rsidRPr="00000000">
            <w:pPr>
              <w:pBdr/>
              <w:contextualSpacing w:val="0"/>
              <w:rPr/>
            </w:pPr>
            <w:r w:rsidDel="00000000" w:rsidR="00000000" w:rsidRPr="00000000">
              <w:rPr>
                <w:rtl w:val="0"/>
              </w:rPr>
              <w:t xml:space="preserve">at a cost of $</w:t>
            </w:r>
            <w:r w:rsidDel="00000000" w:rsidR="00000000" w:rsidRPr="00000000">
              <w:rPr>
                <w:color w:val="000000"/>
                <w:highlight w:val="cyan"/>
                <w:rtl w:val="0"/>
              </w:rPr>
              <w:t xml:space="preserve">00.00</w:t>
            </w:r>
            <w:r w:rsidDel="00000000" w:rsidR="00000000" w:rsidRPr="00000000">
              <w:rPr>
                <w:rtl w:val="0"/>
              </w:rPr>
              <w:t xml:space="preserve"> for a total </w:t>
            </w:r>
            <w:r w:rsidDel="00000000" w:rsidR="00000000" w:rsidRPr="00000000">
              <w:rPr>
                <w:color w:val="000000"/>
                <w:highlight w:val="cyan"/>
                <w:rtl w:val="0"/>
              </w:rPr>
              <w:t xml:space="preserve">$000</w:t>
            </w:r>
            <w:r w:rsidDel="00000000" w:rsidR="00000000" w:rsidRPr="00000000">
              <w:rPr>
                <w:rtl w:val="0"/>
              </w:rPr>
              <w:t xml:space="preserve"> and a fee of $125 per person for total of $</w:t>
            </w:r>
            <w:r w:rsidDel="00000000" w:rsidR="00000000" w:rsidRPr="00000000">
              <w:rPr>
                <w:color w:val="000000"/>
                <w:highlight w:val="cyan"/>
                <w:rtl w:val="0"/>
              </w:rPr>
              <w:t xml:space="preserve">000.00</w:t>
            </w:r>
            <w:r w:rsidDel="00000000" w:rsidR="00000000" w:rsidRPr="00000000">
              <w:rPr>
                <w:rtl w:val="0"/>
              </w:rPr>
            </w:r>
          </w:p>
          <w:p w:rsidR="00000000" w:rsidDel="00000000" w:rsidP="00000000" w:rsidRDefault="00000000" w:rsidRPr="00000000">
            <w:pPr>
              <w:pBdr/>
              <w:contextualSpacing w:val="0"/>
              <w:rPr>
                <w:color w:val="000000"/>
                <w:highlight w:val="cyan"/>
              </w:rPr>
            </w:pPr>
            <w:r w:rsidDel="00000000" w:rsidR="00000000" w:rsidRPr="00000000">
              <w:rPr>
                <w:rtl w:val="0"/>
              </w:rPr>
              <w:t xml:space="preserve">Total Cost: </w:t>
            </w:r>
            <w:r w:rsidDel="00000000" w:rsidR="00000000" w:rsidRPr="00000000">
              <w:rPr>
                <w:color w:val="000000"/>
                <w:highlight w:val="cyan"/>
                <w:rtl w:val="0"/>
              </w:rPr>
              <w:t xml:space="preserve">$000.00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highlight w:val="cyan"/>
                <w:rtl w:val="0"/>
              </w:rPr>
              <w:t xml:space="preserve">XX</w:t>
            </w:r>
            <w:r w:rsidDel="00000000" w:rsidR="00000000" w:rsidRPr="00000000">
              <w:rPr>
                <w:rtl w:val="0"/>
              </w:rPr>
              <w:t xml:space="preserve"> Guest teachers</w:t>
            </w:r>
          </w:p>
          <w:p w:rsidR="00000000" w:rsidDel="00000000" w:rsidP="00000000" w:rsidRDefault="00000000" w:rsidRPr="00000000">
            <w:pPr>
              <w:pBdr/>
              <w:contextualSpacing w:val="0"/>
              <w:rPr/>
            </w:pPr>
            <w:r w:rsidDel="00000000" w:rsidR="00000000" w:rsidRPr="00000000">
              <w:rPr>
                <w:rtl w:val="0"/>
              </w:rPr>
              <w:t xml:space="preserve">at a cost of $</w:t>
            </w:r>
            <w:r w:rsidDel="00000000" w:rsidR="00000000" w:rsidRPr="00000000">
              <w:rPr>
                <w:color w:val="000000"/>
                <w:highlight w:val="cyan"/>
                <w:rtl w:val="0"/>
              </w:rPr>
              <w:t xml:space="preserve">00.00</w:t>
            </w:r>
            <w:r w:rsidDel="00000000" w:rsidR="00000000" w:rsidRPr="00000000">
              <w:rPr>
                <w:rtl w:val="0"/>
              </w:rPr>
              <w:t xml:space="preserve"> for a total </w:t>
            </w:r>
            <w:r w:rsidDel="00000000" w:rsidR="00000000" w:rsidRPr="00000000">
              <w:rPr>
                <w:color w:val="000000"/>
                <w:highlight w:val="cyan"/>
                <w:rtl w:val="0"/>
              </w:rPr>
              <w:t xml:space="preserve">$000</w:t>
            </w:r>
            <w:r w:rsidDel="00000000" w:rsidR="00000000" w:rsidRPr="00000000">
              <w:rPr>
                <w:rtl w:val="0"/>
              </w:rPr>
              <w:t xml:space="preserve"> and a fee of $75 per person for total of $</w:t>
            </w:r>
            <w:r w:rsidDel="00000000" w:rsidR="00000000" w:rsidRPr="00000000">
              <w:rPr>
                <w:color w:val="000000"/>
                <w:highlight w:val="cyan"/>
                <w:rtl w:val="0"/>
              </w:rPr>
              <w:t xml:space="preserve">000.00</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Total Cost: </w:t>
            </w:r>
            <w:r w:rsidDel="00000000" w:rsidR="00000000" w:rsidRPr="00000000">
              <w:rPr>
                <w:color w:val="000000"/>
                <w:highlight w:val="cyan"/>
                <w:rtl w:val="0"/>
              </w:rPr>
              <w:t xml:space="preserve">$000.00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highlight w:val="yellow"/>
              </w:rPr>
            </w:pPr>
            <w:r w:rsidDel="00000000" w:rsidR="00000000" w:rsidRPr="00000000">
              <w:rPr>
                <w:highlight w:val="yellow"/>
                <w:rtl w:val="0"/>
              </w:rPr>
              <w:t xml:space="preserve">Title 2a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highlight w:val="yellow"/>
              </w:rPr>
            </w:pPr>
            <w:r w:rsidDel="00000000" w:rsidR="00000000" w:rsidRPr="00000000">
              <w:rPr>
                <w:highlight w:val="yellow"/>
                <w:rtl w:val="0"/>
              </w:rPr>
              <w:t xml:space="preserve">Title 2a</w:t>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highlight w:val="cyan"/>
                <w:rtl w:val="0"/>
              </w:rPr>
              <w:t xml:space="preserve">List Participants and administrator in charge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00"/>
                <w:highlight w:val="cyan"/>
              </w:rPr>
            </w:pPr>
            <w:r w:rsidDel="00000000" w:rsidR="00000000" w:rsidRPr="00000000">
              <w:rPr>
                <w:rtl w:val="0"/>
              </w:rPr>
            </w:r>
          </w:p>
          <w:p w:rsidR="00000000" w:rsidDel="00000000" w:rsidP="00000000" w:rsidRDefault="00000000" w:rsidRPr="00000000">
            <w:pPr>
              <w:pBdr/>
              <w:contextualSpacing w:val="0"/>
              <w:rPr>
                <w:color w:val="000000"/>
                <w:highlight w:val="cyan"/>
              </w:rPr>
            </w:pPr>
            <w:r w:rsidDel="00000000" w:rsidR="00000000" w:rsidRPr="00000000">
              <w:rPr>
                <w:rtl w:val="0"/>
              </w:rPr>
            </w:r>
          </w:p>
          <w:p w:rsidR="00000000" w:rsidDel="00000000" w:rsidP="00000000" w:rsidRDefault="00000000" w:rsidRPr="00000000">
            <w:pPr>
              <w:pBdr/>
              <w:contextualSpacing w:val="0"/>
              <w:rPr>
                <w:color w:val="000000"/>
                <w:highlight w:val="cyan"/>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highlight w:val="cyan"/>
                <w:rtl w:val="0"/>
              </w:rPr>
              <w:t xml:space="preserve">List Participants and administrator in charge</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Advance teacher understanding the NGSS/ Michigan Science Standards and  effective instructional strategies in a sustained PLC and  workshop format during the </w:t>
            </w:r>
            <w:r w:rsidDel="00000000" w:rsidR="00000000" w:rsidRPr="00000000">
              <w:rPr>
                <w:color w:val="000000"/>
                <w:highlight w:val="cyan"/>
                <w:rtl w:val="0"/>
              </w:rPr>
              <w:t xml:space="preserve">20XX-XX</w:t>
            </w:r>
            <w:r w:rsidDel="00000000" w:rsidR="00000000" w:rsidRPr="00000000">
              <w:rPr>
                <w:rtl w:val="0"/>
              </w:rPr>
              <w:t xml:space="preserve"> school year.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Advance teacher understanding of the NGSS/Michigan Science Standards and  effective instructional strategies in a sustained PLC and workshop format during the </w:t>
            </w:r>
            <w:r w:rsidDel="00000000" w:rsidR="00000000" w:rsidRPr="00000000">
              <w:rPr>
                <w:color w:val="000000"/>
                <w:highlight w:val="cyan"/>
                <w:rtl w:val="0"/>
              </w:rPr>
              <w:t xml:space="preserve">20XX-XX</w:t>
            </w:r>
            <w:r w:rsidDel="00000000" w:rsidR="00000000" w:rsidRPr="00000000">
              <w:rPr>
                <w:rtl w:val="0"/>
              </w:rPr>
              <w:t xml:space="preserve"> school year.</w:t>
            </w:r>
          </w:p>
        </w:tc>
        <w:tc>
          <w:tcPr/>
          <w:p w:rsidR="00000000" w:rsidDel="00000000" w:rsidP="00000000" w:rsidRDefault="00000000" w:rsidRPr="00000000">
            <w:pPr>
              <w:pBdr/>
              <w:contextualSpacing w:val="0"/>
              <w:rPr/>
            </w:pPr>
            <w:r w:rsidDel="00000000" w:rsidR="00000000" w:rsidRPr="00000000">
              <w:rPr>
                <w:color w:val="000000"/>
                <w:highlight w:val="cyan"/>
                <w:rtl w:val="0"/>
              </w:rPr>
              <w:t xml:space="preserve">Five</w:t>
            </w:r>
            <w:r w:rsidDel="00000000" w:rsidR="00000000" w:rsidRPr="00000000">
              <w:rPr>
                <w:rtl w:val="0"/>
              </w:rPr>
              <w:t xml:space="preserve"> Days during the </w:t>
            </w:r>
            <w:r w:rsidDel="00000000" w:rsidR="00000000" w:rsidRPr="00000000">
              <w:rPr>
                <w:color w:val="000000"/>
                <w:highlight w:val="cyan"/>
                <w:rtl w:val="0"/>
              </w:rPr>
              <w:t xml:space="preserve">20XX-XX</w:t>
            </w:r>
            <w:r w:rsidDel="00000000" w:rsidR="00000000" w:rsidRPr="00000000">
              <w:rPr>
                <w:rtl w:val="0"/>
              </w:rPr>
              <w:t xml:space="preserve"> school year.  Professional development and subsequent work within PLCs.</w:t>
            </w:r>
          </w:p>
          <w:p w:rsidR="00000000" w:rsidDel="00000000" w:rsidP="00000000" w:rsidRDefault="00000000" w:rsidRPr="00000000">
            <w:pPr>
              <w:pBdr/>
              <w:contextualSpacing w:val="0"/>
              <w:rPr>
                <w:highlight w:val="cyan"/>
              </w:rPr>
            </w:pPr>
            <w:r w:rsidDel="00000000" w:rsidR="00000000" w:rsidRPr="00000000">
              <w:rPr>
                <w:highlight w:val="cyan"/>
                <w:rtl w:val="0"/>
              </w:rPr>
              <w:t xml:space="preserve"> AND/OR Summer Professional Learning with a Teacher Stipend</w:t>
            </w:r>
          </w:p>
          <w:p w:rsidR="00000000" w:rsidDel="00000000" w:rsidP="00000000" w:rsidRDefault="00000000" w:rsidRPr="00000000">
            <w:pPr>
              <w:pBdr/>
              <w:contextualSpacing w:val="0"/>
              <w:rPr>
                <w:highlight w:val="cyan"/>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highlight w:val="cyan"/>
                <w:rtl w:val="0"/>
              </w:rPr>
              <w:t xml:space="preserve">Three</w:t>
            </w:r>
            <w:r w:rsidDel="00000000" w:rsidR="00000000" w:rsidRPr="00000000">
              <w:rPr>
                <w:rtl w:val="0"/>
              </w:rPr>
              <w:t xml:space="preserve"> Days during the </w:t>
            </w:r>
            <w:r w:rsidDel="00000000" w:rsidR="00000000" w:rsidRPr="00000000">
              <w:rPr>
                <w:color w:val="000000"/>
                <w:highlight w:val="cyan"/>
                <w:rtl w:val="0"/>
              </w:rPr>
              <w:t xml:space="preserve">20XX-XX</w:t>
            </w:r>
            <w:r w:rsidDel="00000000" w:rsidR="00000000" w:rsidRPr="00000000">
              <w:rPr>
                <w:rtl w:val="0"/>
              </w:rPr>
              <w:t xml:space="preserve"> school year.  Professional development and subsequent work within PLCs.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highlight w:val="cyan"/>
                <w:rtl w:val="0"/>
              </w:rPr>
              <w:t xml:space="preserve">OR Summer Professional Learning with a Teacher Stipend</w:t>
            </w:r>
            <w:r w:rsidDel="00000000" w:rsidR="00000000" w:rsidRPr="00000000">
              <w:rPr>
                <w:rtl w:val="0"/>
              </w:rPr>
            </w:r>
          </w:p>
        </w:tc>
      </w:tr>
      <w:tr>
        <w:trPr>
          <w:trHeight w:val="1740" w:hRule="atLeast"/>
        </w:trPr>
        <w:tc>
          <w:tcPr>
            <w:gridSpan w:val="7"/>
            <w:tcBorders>
              <w:bottom w:color="000000" w:space="0" w:sz="4" w:val="single"/>
            </w:tcBorders>
          </w:tcPr>
          <w:p w:rsidR="00000000" w:rsidDel="00000000" w:rsidP="00000000" w:rsidRDefault="00000000" w:rsidRPr="00000000">
            <w:pPr>
              <w:pBdr/>
              <w:contextualSpacing w:val="0"/>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Professional Development Planning Sheet</w:t>
            </w:r>
          </w:p>
          <w:p w:rsidR="00000000" w:rsidDel="00000000" w:rsidP="00000000" w:rsidRDefault="00000000" w:rsidRPr="00000000">
            <w:pPr>
              <w:pBdr/>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SIF Strand 1</w:t>
            </w:r>
            <w:r w:rsidDel="00000000" w:rsidR="00000000" w:rsidRPr="00000000">
              <w:rPr>
                <w:rFonts w:ascii="Verdana" w:cs="Verdana" w:eastAsia="Verdana" w:hAnsi="Verdana"/>
                <w:b w:val="1"/>
                <w:sz w:val="24"/>
                <w:szCs w:val="24"/>
                <w:rtl w:val="0"/>
              </w:rPr>
              <w:t xml:space="preserve">:  Teaching and Learning</w:t>
            </w:r>
          </w:p>
          <w:p w:rsidR="00000000" w:rsidDel="00000000" w:rsidP="00000000" w:rsidRDefault="00000000" w:rsidRPr="00000000">
            <w:pPr>
              <w:pBd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Standard 2</w:t>
            </w:r>
            <w:r w:rsidDel="00000000" w:rsidR="00000000" w:rsidRPr="00000000">
              <w:rPr>
                <w:rFonts w:ascii="Verdana" w:cs="Verdana" w:eastAsia="Verdana" w:hAnsi="Verdana"/>
                <w:b w:val="1"/>
                <w:sz w:val="24"/>
                <w:szCs w:val="24"/>
                <w:rtl w:val="0"/>
              </w:rPr>
              <w:t xml:space="preserve">: Instruction </w:t>
            </w:r>
          </w:p>
          <w:p w:rsidR="00000000" w:rsidDel="00000000" w:rsidP="00000000" w:rsidRDefault="00000000" w:rsidRPr="00000000">
            <w:pPr>
              <w:pBdr/>
              <w:contextualSpacing w:val="0"/>
              <w:rPr>
                <w:sz w:val="24"/>
                <w:szCs w:val="24"/>
              </w:rPr>
            </w:pPr>
            <w:r w:rsidDel="00000000" w:rsidR="00000000" w:rsidRPr="00000000">
              <w:rPr>
                <w:rFonts w:ascii="Verdana" w:cs="Verdana" w:eastAsia="Verdana" w:hAnsi="Verdana"/>
                <w:b w:val="1"/>
                <w:sz w:val="24"/>
                <w:szCs w:val="24"/>
                <w:rtl w:val="0"/>
              </w:rPr>
              <w:t xml:space="preserve">(C) Instructional Design: </w:t>
            </w:r>
            <w:r w:rsidDel="00000000" w:rsidR="00000000" w:rsidRPr="00000000">
              <w:rPr>
                <w:sz w:val="24"/>
                <w:szCs w:val="24"/>
                <w:rtl w:val="0"/>
              </w:rPr>
              <w:t xml:space="preserve">Instruction is designed to incorporate appropriate formative and summative assessments, research-based practices and rigorous thinking. </w:t>
            </w:r>
          </w:p>
          <w:p w:rsidR="00000000" w:rsidDel="00000000" w:rsidP="00000000" w:rsidRDefault="00000000" w:rsidRPr="00000000">
            <w:pPr>
              <w:pBdr/>
              <w:contextualSpacing w:val="0"/>
              <w:rPr>
                <w:sz w:val="24"/>
                <w:szCs w:val="24"/>
              </w:rPr>
            </w:pPr>
            <w:r w:rsidDel="00000000" w:rsidR="00000000" w:rsidRPr="00000000">
              <w:rPr>
                <w:rFonts w:ascii="Verdana" w:cs="Verdana" w:eastAsia="Verdana" w:hAnsi="Verdana"/>
                <w:b w:val="1"/>
                <w:sz w:val="24"/>
                <w:szCs w:val="24"/>
                <w:rtl w:val="0"/>
              </w:rPr>
              <w:t xml:space="preserve">(D)Effective Instructional Practices:</w:t>
            </w:r>
            <w:r w:rsidDel="00000000" w:rsidR="00000000" w:rsidRPr="00000000">
              <w:rPr>
                <w:sz w:val="24"/>
                <w:szCs w:val="24"/>
                <w:rtl w:val="0"/>
              </w:rPr>
              <w:t xml:space="preserve"> Instruction engages students in higher levels of cognitive thinking, leading to greater depth of knowledge.</w:t>
            </w:r>
          </w:p>
          <w:p w:rsidR="00000000" w:rsidDel="00000000" w:rsidP="00000000" w:rsidRDefault="00000000" w:rsidRPr="00000000">
            <w:pPr>
              <w:pBdr/>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DIF Strand 1</w:t>
            </w:r>
            <w:r w:rsidDel="00000000" w:rsidR="00000000" w:rsidRPr="00000000">
              <w:rPr>
                <w:rFonts w:ascii="Verdana" w:cs="Verdana" w:eastAsia="Verdana" w:hAnsi="Verdana"/>
                <w:b w:val="1"/>
                <w:sz w:val="24"/>
                <w:szCs w:val="24"/>
                <w:rtl w:val="0"/>
              </w:rPr>
              <w:t xml:space="preserve">:  Teaching for Learning</w:t>
            </w:r>
          </w:p>
          <w:p w:rsidR="00000000" w:rsidDel="00000000" w:rsidP="00000000" w:rsidRDefault="00000000" w:rsidRPr="00000000">
            <w:pPr>
              <w:pBdr/>
              <w:contextualSpacing w:val="0"/>
              <w:rPr>
                <w:rFonts w:ascii="Verdana" w:cs="Verdana" w:eastAsia="Verdana" w:hAnsi="Verdana"/>
                <w:b w:val="1"/>
                <w:sz w:val="28"/>
                <w:szCs w:val="28"/>
              </w:rPr>
            </w:pPr>
            <w:r w:rsidDel="00000000" w:rsidR="00000000" w:rsidRPr="00000000">
              <w:rPr>
                <w:rFonts w:ascii="Verdana" w:cs="Verdana" w:eastAsia="Verdana" w:hAnsi="Verdana"/>
                <w:b w:val="1"/>
                <w:sz w:val="24"/>
                <w:szCs w:val="24"/>
                <w:u w:val="single"/>
                <w:rtl w:val="0"/>
              </w:rPr>
              <w:t xml:space="preserve">Standard 2</w:t>
            </w:r>
            <w:r w:rsidDel="00000000" w:rsidR="00000000" w:rsidRPr="00000000">
              <w:rPr>
                <w:rFonts w:ascii="Verdana" w:cs="Verdana" w:eastAsia="Verdana" w:hAnsi="Verdana"/>
                <w:b w:val="1"/>
                <w:sz w:val="24"/>
                <w:szCs w:val="24"/>
                <w:rtl w:val="0"/>
              </w:rPr>
              <w:t xml:space="preserve">:  Instruction:</w:t>
            </w:r>
            <w:r w:rsidDel="00000000" w:rsidR="00000000" w:rsidRPr="00000000">
              <w:rPr>
                <w:sz w:val="24"/>
                <w:szCs w:val="24"/>
                <w:rtl w:val="0"/>
              </w:rPr>
              <w:t xml:space="preserve"> The district provides direction on effective instructional practices and school/district processes (e.g. collaborative time, student supports and interventions, culture/climate interventions) and monitors their impact on student achievement and educator effectiveness</w:t>
            </w:r>
            <w:r w:rsidDel="00000000" w:rsidR="00000000" w:rsidRPr="00000000">
              <w:rPr>
                <w:rFonts w:ascii="Verdana" w:cs="Verdana" w:eastAsia="Verdana" w:hAnsi="Verdana"/>
                <w:b w:val="1"/>
                <w:sz w:val="28"/>
                <w:szCs w:val="28"/>
                <w:rtl w:val="0"/>
              </w:rPr>
              <w:t xml:space="preserve">                                                                    </w:t>
            </w:r>
          </w:p>
          <w:p w:rsidR="00000000" w:rsidDel="00000000" w:rsidP="00000000" w:rsidRDefault="00000000" w:rsidRPr="00000000">
            <w:pPr>
              <w:pBd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Aligned School Improvement GOAL</w:t>
            </w: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pPr>
              <w:pBdr/>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Improve Teaching Strategies to Support Visible Learning of Students with a Focus on the Science Practices of engaging in argument from evidence, constructing explanations and designing solutions, and developing and using models while engaging students in productive discourse.</w:t>
            </w:r>
          </w:p>
          <w:p w:rsidR="00000000" w:rsidDel="00000000" w:rsidP="00000000" w:rsidRDefault="00000000" w:rsidRPr="00000000">
            <w:pPr>
              <w:pBdr/>
              <w:contextualSpacing w:val="0"/>
              <w:rPr>
                <w:rFonts w:ascii="Verdana" w:cs="Verdana" w:eastAsia="Verdana" w:hAnsi="Verdana"/>
                <w:i w:val="1"/>
                <w:color w:val="000000"/>
                <w:sz w:val="24"/>
                <w:szCs w:val="24"/>
                <w:shd w:fill="fbfbfb" w:val="clear"/>
              </w:rPr>
            </w:pPr>
            <w:r w:rsidDel="00000000" w:rsidR="00000000" w:rsidRPr="00000000">
              <w:rPr>
                <w:rFonts w:ascii="Verdana" w:cs="Verdana" w:eastAsia="Verdana" w:hAnsi="Verdana"/>
                <w:b w:val="1"/>
                <w:sz w:val="24"/>
                <w:szCs w:val="24"/>
                <w:rtl w:val="0"/>
              </w:rPr>
              <w:t xml:space="preserve">SUPPORTING the Strategy of</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color w:val="000000"/>
                <w:sz w:val="24"/>
                <w:szCs w:val="24"/>
                <w:shd w:fill="fbfbfb" w:val="clear"/>
                <w:rtl w:val="0"/>
              </w:rPr>
              <w:t xml:space="preserve">Develop a K-12 classroom culture that supports the new vision of science education. Teachers should align their teaching approaches, curriculum resources, and students' tasks with the vision (Recommendation #3)</w:t>
            </w:r>
          </w:p>
          <w:p w:rsidR="00000000" w:rsidDel="00000000" w:rsidP="00000000" w:rsidRDefault="00000000" w:rsidRPr="00000000">
            <w:pPr>
              <w:pBdr/>
              <w:contextualSpacing w:val="0"/>
              <w:rPr>
                <w:b w:val="1"/>
              </w:rPr>
            </w:pPr>
            <w:r w:rsidDel="00000000" w:rsidR="00000000" w:rsidRPr="00000000">
              <w:rPr>
                <w:rFonts w:ascii="Verdana" w:cs="Verdana" w:eastAsia="Verdana" w:hAnsi="Verdana"/>
                <w:b w:val="1"/>
                <w:sz w:val="24"/>
                <w:szCs w:val="24"/>
                <w:u w:val="single"/>
                <w:rtl w:val="0"/>
              </w:rPr>
              <w:t xml:space="preserve">Research:</w:t>
            </w:r>
            <w:r w:rsidDel="00000000" w:rsidR="00000000" w:rsidRPr="00000000">
              <w:rPr>
                <w:rFonts w:ascii="Verdana" w:cs="Verdana" w:eastAsia="Verdana" w:hAnsi="Verdana"/>
                <w:sz w:val="24"/>
                <w:szCs w:val="24"/>
                <w:rtl w:val="0"/>
              </w:rPr>
              <w:t xml:space="preserve">  http://www.ncbi.nlm.nih.gov/books/NBK285698/</w:t>
            </w:r>
            <w:r w:rsidDel="00000000" w:rsidR="00000000" w:rsidRPr="00000000">
              <w:rPr>
                <w:rtl w:val="0"/>
              </w:rPr>
            </w:r>
          </w:p>
        </w:tc>
      </w:tr>
      <w:tr>
        <w:trPr>
          <w:trHeight w:val="60" w:hRule="atLeast"/>
        </w:trPr>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Activity (Topic)</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Target Audience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Resources Needed</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Funding Source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Person Responsible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Expected Outcome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c>
          <w:tcPr>
            <w:shd w:fill="c0c0c0"/>
            <w:vAlign w:val="center"/>
          </w:tcPr>
          <w:p w:rsidR="00000000" w:rsidDel="00000000" w:rsidP="00000000" w:rsidRDefault="00000000" w:rsidRPr="00000000">
            <w:pPr>
              <w:pBdr/>
              <w:spacing w:after="40" w:before="40" w:lineRule="auto"/>
              <w:contextualSpacing w:val="0"/>
              <w:jc w:val="center"/>
              <w:rPr>
                <w:b w:val="1"/>
                <w:sz w:val="24"/>
                <w:szCs w:val="24"/>
              </w:rPr>
            </w:pPr>
            <w:r w:rsidDel="00000000" w:rsidR="00000000" w:rsidRPr="00000000">
              <w:rPr>
                <w:b w:val="1"/>
                <w:sz w:val="24"/>
                <w:szCs w:val="24"/>
                <w:rtl w:val="0"/>
              </w:rPr>
              <w:t xml:space="preserve">Timeframe and Deadline</w:t>
            </w:r>
          </w:p>
          <w:p w:rsidR="00000000" w:rsidDel="00000000" w:rsidP="00000000" w:rsidRDefault="00000000" w:rsidRPr="00000000">
            <w:pPr>
              <w:pBdr/>
              <w:spacing w:after="40" w:before="40" w:lineRule="auto"/>
              <w:contextualSpacing w:val="0"/>
              <w:jc w:val="center"/>
              <w:rPr>
                <w:b w:val="1"/>
              </w:rPr>
            </w:pPr>
            <w:r w:rsidDel="00000000" w:rsidR="00000000" w:rsidRPr="00000000">
              <w:rPr>
                <w:b w:val="1"/>
                <w:sz w:val="40"/>
                <w:szCs w:val="40"/>
                <w:rtl w:val="0"/>
              </w:rPr>
              <w:t xml:space="preserve">**</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NGSx-Next Generation Science Exemplar:  Argumentation, Explanation, and Modeling of the Behavior of Matter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highlight w:val="cyan"/>
                <w:rtl w:val="0"/>
              </w:rPr>
              <w:t xml:space="preserve">5 days</w:t>
            </w:r>
            <w:r w:rsidDel="00000000" w:rsidR="00000000" w:rsidRPr="00000000">
              <w:rPr>
                <w:rtl w:val="0"/>
              </w:rPr>
              <w:t xml:space="preserve"> throughout </w:t>
            </w:r>
            <w:r w:rsidDel="00000000" w:rsidR="00000000" w:rsidRPr="00000000">
              <w:rPr>
                <w:color w:val="000000"/>
                <w:highlight w:val="cyan"/>
                <w:rtl w:val="0"/>
              </w:rPr>
              <w:t xml:space="preserve">20XX-XX</w:t>
            </w:r>
            <w:r w:rsidDel="00000000" w:rsidR="00000000" w:rsidRPr="00000000">
              <w:rPr>
                <w:rtl w:val="0"/>
              </w:rPr>
              <w:t xml:space="preserve"> school year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High School, Middle School, and Elementary  Science Teachers</w:t>
            </w:r>
          </w:p>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highlight w:val="cyan"/>
                <w:rtl w:val="0"/>
              </w:rPr>
              <w:t xml:space="preserve">XX</w:t>
            </w:r>
            <w:r w:rsidDel="00000000" w:rsidR="00000000" w:rsidRPr="00000000">
              <w:rPr>
                <w:rtl w:val="0"/>
              </w:rPr>
              <w:t xml:space="preserve"> Guest teachers</w:t>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t xml:space="preserve">at a cost of $</w:t>
            </w:r>
            <w:r w:rsidDel="00000000" w:rsidR="00000000" w:rsidRPr="00000000">
              <w:rPr>
                <w:color w:val="000000"/>
                <w:highlight w:val="cyan"/>
                <w:rtl w:val="0"/>
              </w:rPr>
              <w:t xml:space="preserve">00.00</w:t>
            </w:r>
            <w:r w:rsidDel="00000000" w:rsidR="00000000" w:rsidRPr="00000000">
              <w:rPr>
                <w:rtl w:val="0"/>
              </w:rPr>
              <w:t xml:space="preserve"> for a total </w:t>
            </w:r>
            <w:r w:rsidDel="00000000" w:rsidR="00000000" w:rsidRPr="00000000">
              <w:rPr>
                <w:color w:val="000000"/>
                <w:highlight w:val="cyan"/>
                <w:rtl w:val="0"/>
              </w:rPr>
              <w:t xml:space="preserve">$000</w:t>
            </w:r>
            <w:r w:rsidDel="00000000" w:rsidR="00000000" w:rsidRPr="00000000">
              <w:rPr>
                <w:rtl w:val="0"/>
              </w:rPr>
              <w:t xml:space="preserve"> and a fee of $125 per person for total of $</w:t>
            </w:r>
            <w:r w:rsidDel="00000000" w:rsidR="00000000" w:rsidRPr="00000000">
              <w:rPr>
                <w:color w:val="000000"/>
                <w:highlight w:val="cyan"/>
                <w:rtl w:val="0"/>
              </w:rPr>
              <w:t xml:space="preserve">000.00</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Total Cost: </w:t>
            </w:r>
            <w:r w:rsidDel="00000000" w:rsidR="00000000" w:rsidRPr="00000000">
              <w:rPr>
                <w:color w:val="000000"/>
                <w:highlight w:val="cyan"/>
                <w:rtl w:val="0"/>
              </w:rPr>
              <w:t xml:space="preserve">$000.00</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highlight w:val="yellow"/>
              </w:rPr>
            </w:pPr>
            <w:r w:rsidDel="00000000" w:rsidR="00000000" w:rsidRPr="00000000">
              <w:rPr>
                <w:highlight w:val="yellow"/>
                <w:rtl w:val="0"/>
              </w:rPr>
              <w:t xml:space="preserve">Title 2a</w:t>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highlight w:val="cyan"/>
                <w:rtl w:val="0"/>
              </w:rPr>
              <w:t xml:space="preserve">List Participants and administrator in charge</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advance teacher understanding of effective instructional strategies in a sustained and intensive workshop format during the </w:t>
            </w:r>
            <w:r w:rsidDel="00000000" w:rsidR="00000000" w:rsidRPr="00000000">
              <w:rPr>
                <w:color w:val="000000"/>
                <w:highlight w:val="cyan"/>
                <w:rtl w:val="0"/>
              </w:rPr>
              <w:t xml:space="preserve">20XX-XX</w:t>
            </w:r>
            <w:r w:rsidDel="00000000" w:rsidR="00000000" w:rsidRPr="00000000">
              <w:rPr>
                <w:rtl w:val="0"/>
              </w:rPr>
              <w:t xml:space="preserve"> school year. </w:t>
            </w:r>
          </w:p>
        </w:tc>
        <w:tc>
          <w:tcPr/>
          <w:p w:rsidR="00000000" w:rsidDel="00000000" w:rsidP="00000000" w:rsidRDefault="00000000" w:rsidRPr="00000000">
            <w:pPr>
              <w:pBdr/>
              <w:contextualSpacing w:val="0"/>
              <w:rPr/>
            </w:pPr>
            <w:r w:rsidDel="00000000" w:rsidR="00000000" w:rsidRPr="00000000">
              <w:rPr>
                <w:color w:val="000000"/>
                <w:highlight w:val="cyan"/>
                <w:rtl w:val="0"/>
              </w:rPr>
              <w:t xml:space="preserve">Five</w:t>
            </w:r>
            <w:r w:rsidDel="00000000" w:rsidR="00000000" w:rsidRPr="00000000">
              <w:rPr>
                <w:rtl w:val="0"/>
              </w:rPr>
              <w:t xml:space="preserve"> Days during the </w:t>
            </w:r>
            <w:r w:rsidDel="00000000" w:rsidR="00000000" w:rsidRPr="00000000">
              <w:rPr>
                <w:color w:val="000000"/>
                <w:highlight w:val="cyan"/>
                <w:rtl w:val="0"/>
              </w:rPr>
              <w:t xml:space="preserve">20XX-XX</w:t>
            </w:r>
            <w:r w:rsidDel="00000000" w:rsidR="00000000" w:rsidRPr="00000000">
              <w:rPr>
                <w:rtl w:val="0"/>
              </w:rPr>
              <w:t xml:space="preserve"> school year and will share outcomes with content area teachers during monthly PLCs. </w:t>
            </w:r>
          </w:p>
        </w:tc>
      </w:tr>
    </w:tbl>
    <w:p w:rsidR="00000000" w:rsidDel="00000000" w:rsidP="00000000" w:rsidRDefault="00000000" w:rsidRPr="00000000">
      <w:pPr>
        <w:pBd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